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0E" w:rsidRPr="00683B44" w:rsidRDefault="0056360E" w:rsidP="0056360E">
      <w:pPr>
        <w:jc w:val="right"/>
        <w:rPr>
          <w:b/>
        </w:rPr>
      </w:pPr>
      <w:r w:rsidRPr="00683B44">
        <w:rPr>
          <w:b/>
        </w:rPr>
        <w:t xml:space="preserve">Appendix </w:t>
      </w:r>
      <w:r>
        <w:rPr>
          <w:b/>
        </w:rPr>
        <w:t>1</w:t>
      </w:r>
    </w:p>
    <w:p w:rsidR="0056360E" w:rsidRPr="00683B44" w:rsidRDefault="0056360E" w:rsidP="0056360E">
      <w:pPr>
        <w:jc w:val="center"/>
        <w:rPr>
          <w:b/>
          <w:u w:val="single"/>
        </w:rPr>
      </w:pPr>
      <w:r w:rsidRPr="00683B44">
        <w:rPr>
          <w:rFonts w:cs="Arial"/>
          <w:b/>
          <w:u w:val="single"/>
        </w:rPr>
        <w:t xml:space="preserve">Amended Specified Investments </w:t>
      </w:r>
      <w:r>
        <w:rPr>
          <w:rFonts w:cs="Arial"/>
          <w:b/>
          <w:u w:val="single"/>
        </w:rPr>
        <w:t>L</w:t>
      </w:r>
      <w:r w:rsidRPr="00683B44">
        <w:rPr>
          <w:rFonts w:cs="Arial"/>
          <w:b/>
          <w:u w:val="single"/>
        </w:rPr>
        <w:t>ist</w:t>
      </w:r>
    </w:p>
    <w:p w:rsidR="0056360E" w:rsidRDefault="0056360E" w:rsidP="0056360E">
      <w:pPr>
        <w:jc w:val="both"/>
      </w:pPr>
    </w:p>
    <w:p w:rsidR="0056360E" w:rsidRPr="0056360E" w:rsidRDefault="0056360E" w:rsidP="0056360E">
      <w:pPr>
        <w:spacing w:after="120"/>
      </w:pPr>
      <w:r w:rsidRPr="0056360E">
        <w:rPr>
          <w:b/>
        </w:rPr>
        <w:t>Specified Investments</w:t>
      </w:r>
      <w:r w:rsidRPr="0056360E">
        <w:t xml:space="preserve"> – These investments are sterling investments that do not exceed a maturity period of more than one year, or those which could be for a longer period but where the Council has the right to be repaid within twelve months if it wishes.  These are considered low risk assets where the possibility of loss of principal or investment income is small.  These would include sterling investments which would not be defined as capital expenditure with:</w:t>
      </w:r>
    </w:p>
    <w:p w:rsidR="0056360E" w:rsidRPr="0056360E" w:rsidRDefault="0056360E" w:rsidP="0056360E">
      <w:pPr>
        <w:numPr>
          <w:ilvl w:val="0"/>
          <w:numId w:val="1"/>
        </w:numPr>
        <w:spacing w:before="120"/>
        <w:ind w:left="357" w:hanging="357"/>
      </w:pPr>
      <w:r w:rsidRPr="0056360E">
        <w:t>The UK Government (such as the Debt Management Account deposit facility, UK Treasury Bills or Gilts with less than one year to maturity).</w:t>
      </w:r>
    </w:p>
    <w:p w:rsidR="0056360E" w:rsidRPr="0056360E" w:rsidRDefault="0056360E" w:rsidP="0056360E">
      <w:pPr>
        <w:numPr>
          <w:ilvl w:val="0"/>
          <w:numId w:val="1"/>
        </w:numPr>
        <w:spacing w:before="120"/>
        <w:ind w:left="357" w:hanging="357"/>
      </w:pPr>
      <w:r w:rsidRPr="0056360E">
        <w:t>Supranational bonds of l</w:t>
      </w:r>
      <w:bookmarkStart w:id="0" w:name="_GoBack"/>
      <w:bookmarkEnd w:id="0"/>
      <w:r w:rsidRPr="0056360E">
        <w:t>ess than one year’s duration.</w:t>
      </w:r>
    </w:p>
    <w:p w:rsidR="0056360E" w:rsidRPr="0056360E" w:rsidRDefault="0056360E" w:rsidP="0056360E">
      <w:pPr>
        <w:numPr>
          <w:ilvl w:val="0"/>
          <w:numId w:val="1"/>
        </w:numPr>
        <w:spacing w:before="120"/>
        <w:ind w:left="357" w:hanging="357"/>
      </w:pPr>
      <w:r w:rsidRPr="0056360E">
        <w:t>A Local Authority, Parish Council, Community Council, Fire or Police Authority</w:t>
      </w:r>
    </w:p>
    <w:p w:rsidR="0056360E" w:rsidRPr="0056360E" w:rsidRDefault="0056360E" w:rsidP="0056360E">
      <w:pPr>
        <w:numPr>
          <w:ilvl w:val="0"/>
          <w:numId w:val="1"/>
        </w:numPr>
        <w:spacing w:before="120"/>
        <w:ind w:left="357" w:hanging="357"/>
        <w:rPr>
          <w:i/>
        </w:rPr>
      </w:pPr>
      <w:r w:rsidRPr="0056360E">
        <w:t xml:space="preserve">Pooled investment vehicles (such as money market funds) that have been awarded a high credit rating by a credit rating agency. For category 4, this covers pooled investment vehicles, such as money market funds, rated AAA by </w:t>
      </w:r>
      <w:proofErr w:type="gramStart"/>
      <w:r w:rsidRPr="0056360E">
        <w:t>Standard</w:t>
      </w:r>
      <w:proofErr w:type="gramEnd"/>
      <w:r w:rsidRPr="0056360E">
        <w:t xml:space="preserve"> and Poor’s, Moody’s or Fitch rating agencies</w:t>
      </w:r>
      <w:r w:rsidRPr="0056360E">
        <w:rPr>
          <w:i/>
        </w:rPr>
        <w:t>.</w:t>
      </w:r>
    </w:p>
    <w:p w:rsidR="0056360E" w:rsidRPr="0056360E" w:rsidRDefault="0056360E" w:rsidP="0056360E">
      <w:pPr>
        <w:numPr>
          <w:ilvl w:val="0"/>
          <w:numId w:val="1"/>
        </w:numPr>
        <w:spacing w:before="120"/>
        <w:ind w:left="357" w:hanging="357"/>
        <w:rPr>
          <w:i/>
        </w:rPr>
      </w:pPr>
      <w:r w:rsidRPr="0056360E">
        <w:t xml:space="preserve">A body that is considered of a high credit quality (such as a bank or building society) meeting the minimum ‘high’ quality criteria where applicable.  </w:t>
      </w:r>
    </w:p>
    <w:p w:rsidR="0056360E" w:rsidRPr="0056360E" w:rsidRDefault="0056360E" w:rsidP="0056360E">
      <w:pPr>
        <w:spacing w:before="120"/>
      </w:pPr>
      <w:r w:rsidRPr="0056360E">
        <w:t xml:space="preserve">Additionally, and in accordance with the Code, the Council has set duration and value limits as follows:  </w:t>
      </w:r>
    </w:p>
    <w:p w:rsidR="0056360E" w:rsidRPr="0056360E" w:rsidRDefault="0056360E" w:rsidP="0056360E">
      <w:r w:rsidRPr="0056360E">
        <w:br w:type="page"/>
      </w:r>
    </w:p>
    <w:p w:rsidR="0056360E" w:rsidRPr="0056360E" w:rsidRDefault="0056360E" w:rsidP="0056360E">
      <w:pPr>
        <w:spacing w:before="120"/>
        <w:rPr>
          <w:b/>
        </w:rPr>
      </w:pPr>
      <w:r w:rsidRPr="0056360E">
        <w:rPr>
          <w:b/>
        </w:rPr>
        <w:lastRenderedPageBreak/>
        <w:t>Specified Investments - Limits on value and period</w:t>
      </w:r>
    </w:p>
    <w:p w:rsidR="0056360E" w:rsidRPr="0056360E" w:rsidRDefault="0056360E" w:rsidP="0056360E">
      <w:pPr>
        <w:spacing w:before="120"/>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56360E" w:rsidRPr="0056360E" w:rsidTr="001240FD">
        <w:tc>
          <w:tcPr>
            <w:tcW w:w="3888" w:type="dxa"/>
            <w:shd w:val="clear" w:color="auto" w:fill="D9D9D9"/>
          </w:tcPr>
          <w:p w:rsidR="0056360E" w:rsidRPr="0056360E" w:rsidRDefault="0056360E" w:rsidP="0056360E">
            <w:pPr>
              <w:spacing w:before="120"/>
              <w:jc w:val="center"/>
            </w:pPr>
          </w:p>
        </w:tc>
        <w:tc>
          <w:tcPr>
            <w:tcW w:w="2340" w:type="dxa"/>
            <w:shd w:val="clear" w:color="auto" w:fill="D9D9D9"/>
          </w:tcPr>
          <w:p w:rsidR="0056360E" w:rsidRPr="0056360E" w:rsidRDefault="0056360E" w:rsidP="0056360E">
            <w:pPr>
              <w:spacing w:before="120"/>
              <w:jc w:val="center"/>
              <w:rPr>
                <w:b/>
              </w:rPr>
            </w:pPr>
            <w:r w:rsidRPr="0056360E">
              <w:rPr>
                <w:b/>
              </w:rPr>
              <w:t>Minimum credit criteria/colour banding</w:t>
            </w:r>
          </w:p>
        </w:tc>
        <w:tc>
          <w:tcPr>
            <w:tcW w:w="1620" w:type="dxa"/>
            <w:shd w:val="clear" w:color="auto" w:fill="D9D9D9"/>
          </w:tcPr>
          <w:p w:rsidR="0056360E" w:rsidRPr="0056360E" w:rsidRDefault="0056360E" w:rsidP="0056360E">
            <w:pPr>
              <w:spacing w:before="120"/>
              <w:jc w:val="center"/>
              <w:rPr>
                <w:b/>
              </w:rPr>
            </w:pPr>
            <w:r w:rsidRPr="0056360E">
              <w:rPr>
                <w:b/>
              </w:rPr>
              <w:t>Max % of total investments/ £ limit per institution</w:t>
            </w:r>
          </w:p>
        </w:tc>
        <w:tc>
          <w:tcPr>
            <w:tcW w:w="2216" w:type="dxa"/>
            <w:shd w:val="clear" w:color="auto" w:fill="D9D9D9"/>
          </w:tcPr>
          <w:p w:rsidR="0056360E" w:rsidRPr="0056360E" w:rsidRDefault="0056360E" w:rsidP="0056360E">
            <w:pPr>
              <w:spacing w:before="120"/>
              <w:jc w:val="center"/>
              <w:rPr>
                <w:b/>
              </w:rPr>
            </w:pPr>
            <w:r w:rsidRPr="0056360E">
              <w:rPr>
                <w:b/>
              </w:rPr>
              <w:t>Max maturity period</w:t>
            </w:r>
          </w:p>
        </w:tc>
      </w:tr>
      <w:tr w:rsidR="0056360E" w:rsidRPr="0056360E" w:rsidTr="001240FD">
        <w:tc>
          <w:tcPr>
            <w:tcW w:w="3888" w:type="dxa"/>
            <w:shd w:val="clear" w:color="auto" w:fill="auto"/>
          </w:tcPr>
          <w:p w:rsidR="0056360E" w:rsidRPr="0056360E" w:rsidRDefault="0056360E" w:rsidP="0056360E">
            <w:pPr>
              <w:spacing w:before="120"/>
            </w:pPr>
            <w:r w:rsidRPr="0056360E">
              <w:t>Debt Management Office – UK Government</w:t>
            </w:r>
          </w:p>
        </w:tc>
        <w:tc>
          <w:tcPr>
            <w:tcW w:w="2340" w:type="dxa"/>
            <w:shd w:val="clear" w:color="auto" w:fill="auto"/>
          </w:tcPr>
          <w:p w:rsidR="0056360E" w:rsidRPr="0056360E" w:rsidRDefault="0056360E" w:rsidP="0056360E">
            <w:pPr>
              <w:spacing w:before="120"/>
            </w:pPr>
            <w:r w:rsidRPr="0056360E">
              <w:t>Not applicable</w:t>
            </w:r>
          </w:p>
        </w:tc>
        <w:tc>
          <w:tcPr>
            <w:tcW w:w="1620" w:type="dxa"/>
            <w:shd w:val="clear" w:color="auto" w:fill="auto"/>
          </w:tcPr>
          <w:p w:rsidR="0056360E" w:rsidRPr="0056360E" w:rsidRDefault="0056360E" w:rsidP="0056360E">
            <w:pPr>
              <w:spacing w:before="120"/>
            </w:pPr>
            <w:r w:rsidRPr="0056360E">
              <w:t>100%</w:t>
            </w:r>
          </w:p>
        </w:tc>
        <w:tc>
          <w:tcPr>
            <w:tcW w:w="2216" w:type="dxa"/>
            <w:shd w:val="clear" w:color="auto" w:fill="auto"/>
          </w:tcPr>
          <w:p w:rsidR="0056360E" w:rsidRPr="0056360E" w:rsidRDefault="0056360E" w:rsidP="0056360E">
            <w:pPr>
              <w:spacing w:before="120"/>
            </w:pPr>
            <w:r w:rsidRPr="0056360E">
              <w:t>364 days</w:t>
            </w:r>
          </w:p>
        </w:tc>
      </w:tr>
      <w:tr w:rsidR="0056360E" w:rsidRPr="0056360E" w:rsidTr="001240FD">
        <w:tc>
          <w:tcPr>
            <w:tcW w:w="3888" w:type="dxa"/>
            <w:shd w:val="clear" w:color="auto" w:fill="auto"/>
          </w:tcPr>
          <w:p w:rsidR="0056360E" w:rsidRPr="0056360E" w:rsidRDefault="0056360E" w:rsidP="0056360E">
            <w:pPr>
              <w:spacing w:before="120"/>
            </w:pPr>
            <w:r w:rsidRPr="0056360E">
              <w:t>UK Government Gilts</w:t>
            </w:r>
          </w:p>
        </w:tc>
        <w:tc>
          <w:tcPr>
            <w:tcW w:w="2340" w:type="dxa"/>
            <w:shd w:val="clear" w:color="auto" w:fill="auto"/>
          </w:tcPr>
          <w:p w:rsidR="0056360E" w:rsidRPr="0056360E" w:rsidRDefault="0056360E" w:rsidP="0056360E">
            <w:pPr>
              <w:spacing w:before="120"/>
            </w:pPr>
            <w:r w:rsidRPr="0056360E">
              <w:t>UK Sovereign rating</w:t>
            </w: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364 days</w:t>
            </w:r>
          </w:p>
        </w:tc>
      </w:tr>
      <w:tr w:rsidR="0056360E" w:rsidRPr="0056360E" w:rsidTr="001240FD">
        <w:tc>
          <w:tcPr>
            <w:tcW w:w="3888" w:type="dxa"/>
            <w:shd w:val="clear" w:color="auto" w:fill="auto"/>
          </w:tcPr>
          <w:p w:rsidR="0056360E" w:rsidRPr="0056360E" w:rsidRDefault="0056360E" w:rsidP="0056360E">
            <w:pPr>
              <w:spacing w:before="120"/>
            </w:pPr>
            <w:r w:rsidRPr="0056360E">
              <w:t>UK Government Treasury Bills</w:t>
            </w:r>
          </w:p>
        </w:tc>
        <w:tc>
          <w:tcPr>
            <w:tcW w:w="2340" w:type="dxa"/>
            <w:shd w:val="clear" w:color="auto" w:fill="auto"/>
          </w:tcPr>
          <w:p w:rsidR="0056360E" w:rsidRPr="0056360E" w:rsidRDefault="0056360E" w:rsidP="0056360E">
            <w:pPr>
              <w:spacing w:before="120"/>
            </w:pPr>
            <w:r w:rsidRPr="0056360E">
              <w:t>UK Sovereign rating</w:t>
            </w: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364 days</w:t>
            </w:r>
          </w:p>
        </w:tc>
      </w:tr>
      <w:tr w:rsidR="0056360E" w:rsidRPr="0056360E" w:rsidTr="001240FD">
        <w:tc>
          <w:tcPr>
            <w:tcW w:w="3888" w:type="dxa"/>
            <w:shd w:val="clear" w:color="auto" w:fill="auto"/>
          </w:tcPr>
          <w:p w:rsidR="0056360E" w:rsidRPr="0056360E" w:rsidRDefault="0056360E" w:rsidP="0056360E">
            <w:pPr>
              <w:spacing w:before="120"/>
            </w:pPr>
            <w:r w:rsidRPr="0056360E">
              <w:t>Bonds issued by multilateral development banks</w:t>
            </w:r>
          </w:p>
        </w:tc>
        <w:tc>
          <w:tcPr>
            <w:tcW w:w="2340" w:type="dxa"/>
            <w:shd w:val="clear" w:color="auto" w:fill="auto"/>
          </w:tcPr>
          <w:p w:rsidR="0056360E" w:rsidRPr="0056360E" w:rsidRDefault="0056360E" w:rsidP="0056360E">
            <w:pPr>
              <w:spacing w:before="120"/>
            </w:pPr>
            <w:r w:rsidRPr="0056360E">
              <w:t>UK Sovereign rating</w:t>
            </w: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6 months</w:t>
            </w:r>
          </w:p>
        </w:tc>
      </w:tr>
      <w:tr w:rsidR="0056360E" w:rsidRPr="0056360E" w:rsidTr="001240FD">
        <w:tc>
          <w:tcPr>
            <w:tcW w:w="3888" w:type="dxa"/>
            <w:shd w:val="clear" w:color="auto" w:fill="auto"/>
          </w:tcPr>
          <w:p w:rsidR="0056360E" w:rsidRPr="0056360E" w:rsidRDefault="0056360E" w:rsidP="0056360E">
            <w:pPr>
              <w:spacing w:before="120"/>
              <w:rPr>
                <w:b/>
                <w:i/>
              </w:rPr>
            </w:pPr>
            <w:r w:rsidRPr="0056360E">
              <w:rPr>
                <w:b/>
                <w:i/>
              </w:rPr>
              <w:t>Money Market Fund</w:t>
            </w:r>
          </w:p>
        </w:tc>
        <w:tc>
          <w:tcPr>
            <w:tcW w:w="2340" w:type="dxa"/>
            <w:shd w:val="clear" w:color="auto" w:fill="auto"/>
          </w:tcPr>
          <w:p w:rsidR="0056360E" w:rsidRPr="0056360E" w:rsidRDefault="0056360E" w:rsidP="0056360E">
            <w:pPr>
              <w:spacing w:before="120"/>
              <w:rPr>
                <w:b/>
                <w:i/>
              </w:rPr>
            </w:pPr>
            <w:r w:rsidRPr="0056360E">
              <w:rPr>
                <w:b/>
                <w:i/>
              </w:rPr>
              <w:t>AAA</w:t>
            </w:r>
          </w:p>
        </w:tc>
        <w:tc>
          <w:tcPr>
            <w:tcW w:w="1620" w:type="dxa"/>
            <w:shd w:val="clear" w:color="auto" w:fill="auto"/>
          </w:tcPr>
          <w:p w:rsidR="0056360E" w:rsidRPr="0056360E" w:rsidRDefault="0056360E" w:rsidP="0056360E">
            <w:pPr>
              <w:spacing w:before="120"/>
              <w:rPr>
                <w:b/>
                <w:i/>
              </w:rPr>
            </w:pPr>
            <w:r w:rsidRPr="0056360E">
              <w:rPr>
                <w:b/>
                <w:i/>
              </w:rPr>
              <w:t>£2</w:t>
            </w:r>
            <w:r>
              <w:rPr>
                <w:b/>
                <w:i/>
              </w:rPr>
              <w:t>5</w:t>
            </w:r>
            <w:r w:rsidRPr="0056360E">
              <w:rPr>
                <w:b/>
                <w:i/>
              </w:rPr>
              <w:t>m</w:t>
            </w:r>
          </w:p>
        </w:tc>
        <w:tc>
          <w:tcPr>
            <w:tcW w:w="2216" w:type="dxa"/>
            <w:shd w:val="clear" w:color="auto" w:fill="auto"/>
          </w:tcPr>
          <w:p w:rsidR="0056360E" w:rsidRPr="0056360E" w:rsidRDefault="0056360E" w:rsidP="0056360E">
            <w:pPr>
              <w:spacing w:before="120"/>
              <w:rPr>
                <w:b/>
                <w:i/>
              </w:rPr>
            </w:pPr>
            <w:r w:rsidRPr="0056360E">
              <w:rPr>
                <w:b/>
                <w:i/>
              </w:rPr>
              <w:t>Liquid</w:t>
            </w:r>
          </w:p>
        </w:tc>
      </w:tr>
      <w:tr w:rsidR="0056360E" w:rsidRPr="0056360E" w:rsidTr="001240FD">
        <w:tc>
          <w:tcPr>
            <w:tcW w:w="3888" w:type="dxa"/>
            <w:shd w:val="clear" w:color="auto" w:fill="auto"/>
          </w:tcPr>
          <w:p w:rsidR="0056360E" w:rsidRPr="0056360E" w:rsidRDefault="0056360E" w:rsidP="0056360E">
            <w:pPr>
              <w:spacing w:before="120"/>
            </w:pPr>
            <w:r w:rsidRPr="0056360E">
              <w:t xml:space="preserve">Local Authorities, Fire and Police Authorities </w:t>
            </w:r>
          </w:p>
        </w:tc>
        <w:tc>
          <w:tcPr>
            <w:tcW w:w="2340" w:type="dxa"/>
            <w:shd w:val="clear" w:color="auto" w:fill="auto"/>
          </w:tcPr>
          <w:p w:rsidR="0056360E" w:rsidRPr="0056360E" w:rsidRDefault="0056360E" w:rsidP="0056360E">
            <w:pPr>
              <w:spacing w:before="120"/>
            </w:pP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364 days</w:t>
            </w:r>
          </w:p>
        </w:tc>
      </w:tr>
      <w:tr w:rsidR="0056360E" w:rsidRPr="0056360E" w:rsidTr="001240FD">
        <w:tc>
          <w:tcPr>
            <w:tcW w:w="3888"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Term deposits with banks and rated building societies</w:t>
            </w:r>
          </w:p>
        </w:tc>
        <w:tc>
          <w:tcPr>
            <w:tcW w:w="2340"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Blue</w:t>
            </w:r>
          </w:p>
          <w:p w:rsidR="0056360E" w:rsidRPr="0056360E" w:rsidRDefault="0056360E" w:rsidP="0056360E">
            <w:pPr>
              <w:numPr>
                <w:ilvl w:val="12"/>
                <w:numId w:val="0"/>
              </w:numPr>
              <w:tabs>
                <w:tab w:val="left" w:pos="360"/>
              </w:tabs>
              <w:rPr>
                <w:rFonts w:cs="Arial"/>
                <w:noProof/>
              </w:rPr>
            </w:pPr>
            <w:r w:rsidRPr="0056360E">
              <w:rPr>
                <w:rFonts w:cs="Arial"/>
                <w:noProof/>
              </w:rPr>
              <w:t>Orange</w:t>
            </w:r>
          </w:p>
          <w:p w:rsidR="0056360E" w:rsidRPr="0056360E" w:rsidRDefault="0056360E" w:rsidP="0056360E">
            <w:pPr>
              <w:numPr>
                <w:ilvl w:val="12"/>
                <w:numId w:val="0"/>
              </w:numPr>
              <w:tabs>
                <w:tab w:val="left" w:pos="360"/>
              </w:tabs>
              <w:rPr>
                <w:rFonts w:cs="Arial"/>
                <w:noProof/>
              </w:rPr>
            </w:pPr>
            <w:r w:rsidRPr="0056360E">
              <w:rPr>
                <w:rFonts w:cs="Arial"/>
                <w:noProof/>
              </w:rPr>
              <w:t>Red</w:t>
            </w:r>
          </w:p>
          <w:p w:rsidR="0056360E" w:rsidRPr="0056360E" w:rsidRDefault="0056360E" w:rsidP="0056360E">
            <w:pPr>
              <w:numPr>
                <w:ilvl w:val="12"/>
                <w:numId w:val="0"/>
              </w:numPr>
              <w:tabs>
                <w:tab w:val="left" w:pos="360"/>
              </w:tabs>
              <w:rPr>
                <w:rFonts w:cs="Arial"/>
                <w:noProof/>
              </w:rPr>
            </w:pPr>
            <w:r w:rsidRPr="0056360E">
              <w:rPr>
                <w:rFonts w:cs="Arial"/>
                <w:noProof/>
              </w:rPr>
              <w:t>Green</w:t>
            </w:r>
          </w:p>
        </w:tc>
        <w:tc>
          <w:tcPr>
            <w:tcW w:w="1620"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£15m or 20% of total investments whichever is the greater</w:t>
            </w:r>
          </w:p>
        </w:tc>
        <w:tc>
          <w:tcPr>
            <w:tcW w:w="2216"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Up to 1 year</w:t>
            </w:r>
          </w:p>
          <w:p w:rsidR="0056360E" w:rsidRPr="0056360E" w:rsidRDefault="0056360E" w:rsidP="0056360E">
            <w:pPr>
              <w:numPr>
                <w:ilvl w:val="12"/>
                <w:numId w:val="0"/>
              </w:numPr>
              <w:tabs>
                <w:tab w:val="left" w:pos="360"/>
              </w:tabs>
              <w:rPr>
                <w:rFonts w:cs="Arial"/>
                <w:noProof/>
              </w:rPr>
            </w:pPr>
            <w:r w:rsidRPr="0056360E">
              <w:rPr>
                <w:rFonts w:cs="Arial"/>
                <w:noProof/>
              </w:rPr>
              <w:t>Up to 1 year</w:t>
            </w:r>
          </w:p>
          <w:p w:rsidR="0056360E" w:rsidRPr="0056360E" w:rsidRDefault="0056360E" w:rsidP="0056360E">
            <w:pPr>
              <w:numPr>
                <w:ilvl w:val="12"/>
                <w:numId w:val="0"/>
              </w:numPr>
              <w:tabs>
                <w:tab w:val="left" w:pos="360"/>
              </w:tabs>
              <w:rPr>
                <w:rFonts w:cs="Arial"/>
                <w:noProof/>
              </w:rPr>
            </w:pPr>
            <w:r w:rsidRPr="0056360E">
              <w:rPr>
                <w:rFonts w:cs="Arial"/>
                <w:noProof/>
              </w:rPr>
              <w:t>Up to 6 Months</w:t>
            </w:r>
          </w:p>
          <w:p w:rsidR="0056360E" w:rsidRPr="0056360E" w:rsidRDefault="0056360E" w:rsidP="0056360E">
            <w:pPr>
              <w:numPr>
                <w:ilvl w:val="12"/>
                <w:numId w:val="0"/>
              </w:numPr>
              <w:tabs>
                <w:tab w:val="left" w:pos="360"/>
              </w:tabs>
              <w:rPr>
                <w:rFonts w:cs="Arial"/>
                <w:noProof/>
              </w:rPr>
            </w:pPr>
            <w:r w:rsidRPr="0056360E">
              <w:rPr>
                <w:rFonts w:cs="Arial"/>
                <w:noProof/>
              </w:rPr>
              <w:t>Up to 100 days</w:t>
            </w:r>
          </w:p>
        </w:tc>
      </w:tr>
      <w:tr w:rsidR="0056360E" w:rsidRPr="0056360E" w:rsidTr="001240FD">
        <w:tc>
          <w:tcPr>
            <w:tcW w:w="3888" w:type="dxa"/>
            <w:shd w:val="clear" w:color="auto" w:fill="auto"/>
            <w:vAlign w:val="center"/>
          </w:tcPr>
          <w:p w:rsidR="0056360E" w:rsidRPr="0056360E" w:rsidRDefault="0056360E" w:rsidP="0056360E">
            <w:pPr>
              <w:numPr>
                <w:ilvl w:val="12"/>
                <w:numId w:val="0"/>
              </w:numPr>
              <w:tabs>
                <w:tab w:val="left" w:pos="360"/>
              </w:tabs>
              <w:rPr>
                <w:rFonts w:cs="Arial"/>
                <w:noProof/>
              </w:rPr>
            </w:pPr>
            <w:r>
              <w:rPr>
                <w:rFonts w:cs="Arial"/>
                <w:noProof/>
              </w:rPr>
              <w:t>C</w:t>
            </w:r>
            <w:r w:rsidRPr="0056360E">
              <w:rPr>
                <w:rFonts w:cs="Arial"/>
                <w:noProof/>
              </w:rPr>
              <w:t>ertificate of Deposit or corporate bonds  with banks and building societies</w:t>
            </w:r>
          </w:p>
        </w:tc>
        <w:tc>
          <w:tcPr>
            <w:tcW w:w="2340"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Blue</w:t>
            </w:r>
          </w:p>
          <w:p w:rsidR="0056360E" w:rsidRPr="0056360E" w:rsidRDefault="0056360E" w:rsidP="0056360E">
            <w:pPr>
              <w:numPr>
                <w:ilvl w:val="12"/>
                <w:numId w:val="0"/>
              </w:numPr>
              <w:tabs>
                <w:tab w:val="left" w:pos="360"/>
              </w:tabs>
              <w:rPr>
                <w:rFonts w:cs="Arial"/>
                <w:noProof/>
              </w:rPr>
            </w:pPr>
            <w:r w:rsidRPr="0056360E">
              <w:rPr>
                <w:rFonts w:cs="Arial"/>
                <w:noProof/>
              </w:rPr>
              <w:t>Orange</w:t>
            </w:r>
          </w:p>
          <w:p w:rsidR="0056360E" w:rsidRPr="0056360E" w:rsidRDefault="0056360E" w:rsidP="0056360E">
            <w:pPr>
              <w:numPr>
                <w:ilvl w:val="12"/>
                <w:numId w:val="0"/>
              </w:numPr>
              <w:tabs>
                <w:tab w:val="left" w:pos="360"/>
              </w:tabs>
              <w:rPr>
                <w:rFonts w:cs="Arial"/>
                <w:noProof/>
              </w:rPr>
            </w:pPr>
            <w:r w:rsidRPr="0056360E">
              <w:rPr>
                <w:rFonts w:cs="Arial"/>
                <w:noProof/>
              </w:rPr>
              <w:t>Red</w:t>
            </w:r>
          </w:p>
          <w:p w:rsidR="0056360E" w:rsidRPr="0056360E" w:rsidRDefault="0056360E" w:rsidP="0056360E">
            <w:pPr>
              <w:numPr>
                <w:ilvl w:val="12"/>
                <w:numId w:val="0"/>
              </w:numPr>
              <w:tabs>
                <w:tab w:val="left" w:pos="360"/>
              </w:tabs>
              <w:rPr>
                <w:rFonts w:cs="Arial"/>
                <w:noProof/>
              </w:rPr>
            </w:pPr>
            <w:r w:rsidRPr="0056360E">
              <w:rPr>
                <w:rFonts w:cs="Arial"/>
                <w:noProof/>
              </w:rPr>
              <w:t>Green</w:t>
            </w:r>
          </w:p>
        </w:tc>
        <w:tc>
          <w:tcPr>
            <w:tcW w:w="1620"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£10m or 20% of total investmentswhichever is the greater</w:t>
            </w:r>
          </w:p>
        </w:tc>
        <w:tc>
          <w:tcPr>
            <w:tcW w:w="2216" w:type="dxa"/>
            <w:shd w:val="clear" w:color="auto" w:fill="auto"/>
            <w:vAlign w:val="center"/>
          </w:tcPr>
          <w:p w:rsidR="0056360E" w:rsidRPr="0056360E" w:rsidRDefault="0056360E" w:rsidP="0056360E">
            <w:pPr>
              <w:numPr>
                <w:ilvl w:val="12"/>
                <w:numId w:val="0"/>
              </w:numPr>
              <w:tabs>
                <w:tab w:val="left" w:pos="360"/>
              </w:tabs>
              <w:rPr>
                <w:rFonts w:cs="Arial"/>
                <w:noProof/>
              </w:rPr>
            </w:pPr>
            <w:r w:rsidRPr="0056360E">
              <w:rPr>
                <w:rFonts w:cs="Arial"/>
                <w:noProof/>
              </w:rPr>
              <w:t>Up to 1 year</w:t>
            </w:r>
          </w:p>
          <w:p w:rsidR="0056360E" w:rsidRPr="0056360E" w:rsidRDefault="0056360E" w:rsidP="0056360E">
            <w:pPr>
              <w:numPr>
                <w:ilvl w:val="12"/>
                <w:numId w:val="0"/>
              </w:numPr>
              <w:tabs>
                <w:tab w:val="left" w:pos="360"/>
              </w:tabs>
              <w:rPr>
                <w:rFonts w:cs="Arial"/>
                <w:noProof/>
              </w:rPr>
            </w:pPr>
            <w:r w:rsidRPr="0056360E">
              <w:rPr>
                <w:rFonts w:cs="Arial"/>
                <w:noProof/>
              </w:rPr>
              <w:t>Up to 1 year</w:t>
            </w:r>
          </w:p>
          <w:p w:rsidR="0056360E" w:rsidRPr="0056360E" w:rsidRDefault="0056360E" w:rsidP="0056360E">
            <w:pPr>
              <w:numPr>
                <w:ilvl w:val="12"/>
                <w:numId w:val="0"/>
              </w:numPr>
              <w:tabs>
                <w:tab w:val="left" w:pos="360"/>
              </w:tabs>
              <w:rPr>
                <w:rFonts w:cs="Arial"/>
                <w:noProof/>
              </w:rPr>
            </w:pPr>
            <w:r w:rsidRPr="0056360E">
              <w:rPr>
                <w:rFonts w:cs="Arial"/>
                <w:noProof/>
              </w:rPr>
              <w:t>Up to 6 Months</w:t>
            </w:r>
          </w:p>
          <w:p w:rsidR="0056360E" w:rsidRPr="0056360E" w:rsidRDefault="0056360E" w:rsidP="0056360E">
            <w:pPr>
              <w:numPr>
                <w:ilvl w:val="12"/>
                <w:numId w:val="0"/>
              </w:numPr>
              <w:tabs>
                <w:tab w:val="left" w:pos="360"/>
              </w:tabs>
              <w:rPr>
                <w:rFonts w:cs="Arial"/>
                <w:noProof/>
              </w:rPr>
            </w:pPr>
            <w:r w:rsidRPr="0056360E">
              <w:rPr>
                <w:rFonts w:cs="Arial"/>
                <w:noProof/>
              </w:rPr>
              <w:t>Up to 100 days</w:t>
            </w:r>
          </w:p>
        </w:tc>
      </w:tr>
      <w:tr w:rsidR="0056360E" w:rsidRPr="0056360E" w:rsidTr="001240FD">
        <w:tc>
          <w:tcPr>
            <w:tcW w:w="3888" w:type="dxa"/>
            <w:shd w:val="clear" w:color="auto" w:fill="auto"/>
          </w:tcPr>
          <w:p w:rsidR="0056360E" w:rsidRPr="0056360E" w:rsidRDefault="0056360E" w:rsidP="0056360E">
            <w:pPr>
              <w:spacing w:before="120"/>
            </w:pPr>
            <w:r w:rsidRPr="0056360E">
              <w:t>Enhanced Cash funds</w:t>
            </w:r>
          </w:p>
        </w:tc>
        <w:tc>
          <w:tcPr>
            <w:tcW w:w="2340" w:type="dxa"/>
            <w:shd w:val="clear" w:color="auto" w:fill="auto"/>
          </w:tcPr>
          <w:p w:rsidR="0056360E" w:rsidRPr="0056360E" w:rsidRDefault="0056360E" w:rsidP="0056360E">
            <w:pPr>
              <w:spacing w:before="120"/>
            </w:pP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6 months</w:t>
            </w:r>
          </w:p>
        </w:tc>
      </w:tr>
      <w:tr w:rsidR="0056360E" w:rsidRPr="0056360E" w:rsidTr="001240FD">
        <w:tc>
          <w:tcPr>
            <w:tcW w:w="3888" w:type="dxa"/>
            <w:shd w:val="clear" w:color="auto" w:fill="auto"/>
          </w:tcPr>
          <w:p w:rsidR="0056360E" w:rsidRPr="0056360E" w:rsidRDefault="0056360E" w:rsidP="0056360E">
            <w:pPr>
              <w:spacing w:before="120"/>
            </w:pPr>
            <w:r w:rsidRPr="0056360E">
              <w:t>Corporate bond funds</w:t>
            </w:r>
          </w:p>
        </w:tc>
        <w:tc>
          <w:tcPr>
            <w:tcW w:w="2340" w:type="dxa"/>
            <w:shd w:val="clear" w:color="auto" w:fill="auto"/>
          </w:tcPr>
          <w:p w:rsidR="0056360E" w:rsidRPr="0056360E" w:rsidRDefault="0056360E" w:rsidP="0056360E">
            <w:pPr>
              <w:spacing w:before="120"/>
            </w:pP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6 months</w:t>
            </w:r>
          </w:p>
        </w:tc>
      </w:tr>
      <w:tr w:rsidR="0056360E" w:rsidRPr="0056360E" w:rsidTr="001240FD">
        <w:tc>
          <w:tcPr>
            <w:tcW w:w="3888" w:type="dxa"/>
            <w:shd w:val="clear" w:color="auto" w:fill="auto"/>
          </w:tcPr>
          <w:p w:rsidR="0056360E" w:rsidRPr="0056360E" w:rsidRDefault="0056360E" w:rsidP="0056360E">
            <w:pPr>
              <w:spacing w:before="120"/>
            </w:pPr>
            <w:r w:rsidRPr="0056360E">
              <w:t>Gilt Funds</w:t>
            </w:r>
          </w:p>
        </w:tc>
        <w:tc>
          <w:tcPr>
            <w:tcW w:w="2340" w:type="dxa"/>
            <w:shd w:val="clear" w:color="auto" w:fill="auto"/>
          </w:tcPr>
          <w:p w:rsidR="0056360E" w:rsidRPr="0056360E" w:rsidRDefault="0056360E" w:rsidP="0056360E">
            <w:pPr>
              <w:spacing w:before="120"/>
            </w:pPr>
            <w:r w:rsidRPr="0056360E">
              <w:t>UK sovereign rating</w:t>
            </w:r>
          </w:p>
        </w:tc>
        <w:tc>
          <w:tcPr>
            <w:tcW w:w="1620" w:type="dxa"/>
            <w:shd w:val="clear" w:color="auto" w:fill="auto"/>
          </w:tcPr>
          <w:p w:rsidR="0056360E" w:rsidRPr="0056360E" w:rsidRDefault="0056360E" w:rsidP="0056360E">
            <w:pPr>
              <w:spacing w:before="120"/>
            </w:pPr>
            <w:r w:rsidRPr="0056360E">
              <w:t>20%</w:t>
            </w:r>
          </w:p>
        </w:tc>
        <w:tc>
          <w:tcPr>
            <w:tcW w:w="2216" w:type="dxa"/>
            <w:shd w:val="clear" w:color="auto" w:fill="auto"/>
          </w:tcPr>
          <w:p w:rsidR="0056360E" w:rsidRPr="0056360E" w:rsidRDefault="0056360E" w:rsidP="0056360E">
            <w:pPr>
              <w:spacing w:before="120"/>
            </w:pPr>
            <w:r w:rsidRPr="0056360E">
              <w:t>6 months</w:t>
            </w:r>
          </w:p>
        </w:tc>
      </w:tr>
    </w:tbl>
    <w:p w:rsidR="0056360E" w:rsidRPr="0056360E" w:rsidRDefault="0056360E" w:rsidP="0056360E">
      <w:pPr>
        <w:spacing w:before="120"/>
        <w:jc w:val="both"/>
      </w:pPr>
      <w:r w:rsidRPr="0056360E">
        <w:t xml:space="preserve">The colour ratings above for the </w:t>
      </w:r>
      <w:r w:rsidRPr="0056360E">
        <w:rPr>
          <w:rFonts w:cs="Arial"/>
          <w:noProof/>
        </w:rPr>
        <w:t xml:space="preserve">Term deposits with banks and rated building societies and Certificates of Deposit or corporate bonds  with banks and building societies link the durations in the right hand column to colour coding used in Capita’s Credit List i.e. Blue and Orange coloured institutions can be allow investments of up .to a year according to the Capita Credit List </w:t>
      </w:r>
    </w:p>
    <w:p w:rsidR="00ED23E7" w:rsidRDefault="00ED23E7" w:rsidP="0056360E">
      <w:pPr>
        <w:spacing w:after="120"/>
      </w:pPr>
    </w:p>
    <w:sectPr w:rsidR="00ED2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0E" w:rsidRDefault="0056360E" w:rsidP="0056360E">
      <w:r>
        <w:separator/>
      </w:r>
    </w:p>
  </w:endnote>
  <w:endnote w:type="continuationSeparator" w:id="0">
    <w:p w:rsidR="0056360E" w:rsidRDefault="0056360E" w:rsidP="0056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0E" w:rsidRDefault="0056360E" w:rsidP="0056360E">
      <w:r>
        <w:separator/>
      </w:r>
    </w:p>
  </w:footnote>
  <w:footnote w:type="continuationSeparator" w:id="0">
    <w:p w:rsidR="0056360E" w:rsidRDefault="0056360E" w:rsidP="0056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0E"/>
    <w:rsid w:val="0056360E"/>
    <w:rsid w:val="009A2CED"/>
    <w:rsid w:val="00ED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0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0E"/>
    <w:pPr>
      <w:tabs>
        <w:tab w:val="center" w:pos="4513"/>
        <w:tab w:val="right" w:pos="9026"/>
      </w:tabs>
    </w:pPr>
  </w:style>
  <w:style w:type="character" w:customStyle="1" w:styleId="HeaderChar">
    <w:name w:val="Header Char"/>
    <w:basedOn w:val="DefaultParagraphFont"/>
    <w:link w:val="Header"/>
    <w:uiPriority w:val="99"/>
    <w:rsid w:val="0056360E"/>
    <w:rPr>
      <w:rFonts w:eastAsia="Times New Roman" w:cs="Times New Roman"/>
    </w:rPr>
  </w:style>
  <w:style w:type="paragraph" w:styleId="Footer">
    <w:name w:val="footer"/>
    <w:basedOn w:val="Normal"/>
    <w:link w:val="FooterChar"/>
    <w:uiPriority w:val="99"/>
    <w:unhideWhenUsed/>
    <w:rsid w:val="0056360E"/>
    <w:pPr>
      <w:tabs>
        <w:tab w:val="center" w:pos="4513"/>
        <w:tab w:val="right" w:pos="9026"/>
      </w:tabs>
    </w:pPr>
  </w:style>
  <w:style w:type="character" w:customStyle="1" w:styleId="FooterChar">
    <w:name w:val="Footer Char"/>
    <w:basedOn w:val="DefaultParagraphFont"/>
    <w:link w:val="Footer"/>
    <w:uiPriority w:val="99"/>
    <w:rsid w:val="0056360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0E"/>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0E"/>
    <w:pPr>
      <w:tabs>
        <w:tab w:val="center" w:pos="4513"/>
        <w:tab w:val="right" w:pos="9026"/>
      </w:tabs>
    </w:pPr>
  </w:style>
  <w:style w:type="character" w:customStyle="1" w:styleId="HeaderChar">
    <w:name w:val="Header Char"/>
    <w:basedOn w:val="DefaultParagraphFont"/>
    <w:link w:val="Header"/>
    <w:uiPriority w:val="99"/>
    <w:rsid w:val="0056360E"/>
    <w:rPr>
      <w:rFonts w:eastAsia="Times New Roman" w:cs="Times New Roman"/>
    </w:rPr>
  </w:style>
  <w:style w:type="paragraph" w:styleId="Footer">
    <w:name w:val="footer"/>
    <w:basedOn w:val="Normal"/>
    <w:link w:val="FooterChar"/>
    <w:uiPriority w:val="99"/>
    <w:unhideWhenUsed/>
    <w:rsid w:val="0056360E"/>
    <w:pPr>
      <w:tabs>
        <w:tab w:val="center" w:pos="4513"/>
        <w:tab w:val="right" w:pos="9026"/>
      </w:tabs>
    </w:pPr>
  </w:style>
  <w:style w:type="character" w:customStyle="1" w:styleId="FooterChar">
    <w:name w:val="Footer Char"/>
    <w:basedOn w:val="DefaultParagraphFont"/>
    <w:link w:val="Footer"/>
    <w:uiPriority w:val="99"/>
    <w:rsid w:val="0056360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2344</Characters>
  <Application>Microsoft Office Word</Application>
  <DocSecurity>0</DocSecurity>
  <Lines>19</Lines>
  <Paragraphs>5</Paragraphs>
  <ScaleCrop>false</ScaleCrop>
  <Company>Oxford City Council</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Lewis</dc:creator>
  <cp:lastModifiedBy>Bill Lewis</cp:lastModifiedBy>
  <cp:revision>1</cp:revision>
  <dcterms:created xsi:type="dcterms:W3CDTF">2016-08-02T11:12:00Z</dcterms:created>
  <dcterms:modified xsi:type="dcterms:W3CDTF">2016-08-02T11:28:00Z</dcterms:modified>
</cp:coreProperties>
</file>